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5859" w:rsidRPr="00375859" w:rsidTr="00F725E5">
        <w:tc>
          <w:tcPr>
            <w:tcW w:w="5000" w:type="pct"/>
            <w:shd w:val="clear" w:color="auto" w:fill="auto"/>
            <w:hideMark/>
          </w:tcPr>
          <w:p w:rsidR="00375859" w:rsidRPr="00375859" w:rsidRDefault="00375859" w:rsidP="00375859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КАБІНЕТ МІНІ</w:t>
            </w:r>
            <w:proofErr w:type="gram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СТР</w:t>
            </w:r>
            <w:proofErr w:type="gram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ІВ УКРАЇНИ</w:t>
            </w:r>
            <w:r w:rsidRPr="003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ПОСТАНОВА</w:t>
            </w:r>
          </w:p>
        </w:tc>
      </w:tr>
      <w:tr w:rsidR="00375859" w:rsidRPr="00375859" w:rsidTr="00F725E5">
        <w:tc>
          <w:tcPr>
            <w:tcW w:w="5000" w:type="pct"/>
            <w:shd w:val="clear" w:color="auto" w:fill="auto"/>
            <w:hideMark/>
          </w:tcPr>
          <w:p w:rsidR="00375859" w:rsidRPr="00375859" w:rsidRDefault="00375859" w:rsidP="0037585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р. № 1133</w:t>
            </w:r>
            <w:r w:rsidRPr="003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Киї</w:t>
            </w:r>
            <w:proofErr w:type="gram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375859" w:rsidRPr="00375859" w:rsidRDefault="00375859" w:rsidP="0037585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3"/>
      <w:bookmarkEnd w:id="0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 </w:t>
      </w:r>
      <w:proofErr w:type="spellStart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внесення</w:t>
      </w:r>
      <w:proofErr w:type="spellEnd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змін</w:t>
      </w:r>
      <w:proofErr w:type="spellEnd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 Порядку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педагогічних</w:t>
      </w:r>
      <w:proofErr w:type="spellEnd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і </w:t>
      </w:r>
      <w:proofErr w:type="spellStart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науково-педагогічних</w:t>
      </w:r>
      <w:proofErr w:type="spellEnd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працівників</w:t>
      </w:r>
      <w:proofErr w:type="spellEnd"/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585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постановляє</w:t>
      </w:r>
      <w:proofErr w:type="spellEnd"/>
      <w:r w:rsidRPr="0037585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до </w:t>
      </w:r>
      <w:hyperlink r:id="rId5" w:anchor="n10" w:tgtFrame="_blank" w:history="1"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proofErr w:type="gram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</w:t>
        </w:r>
        <w:proofErr w:type="gramEnd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ідвищення</w:t>
        </w:r>
        <w:proofErr w:type="spellEnd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кваліфікації</w:t>
        </w:r>
        <w:proofErr w:type="spellEnd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педагогічних</w:t>
        </w:r>
        <w:proofErr w:type="spellEnd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науково-педагогічних</w:t>
        </w:r>
        <w:proofErr w:type="spellEnd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працівників</w:t>
        </w:r>
        <w:proofErr w:type="spellEnd"/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р. № 800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2019 р., № 69, ст. 2431),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додаються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375859" w:rsidRPr="00375859" w:rsidTr="00F725E5">
        <w:tc>
          <w:tcPr>
            <w:tcW w:w="1500" w:type="pct"/>
            <w:shd w:val="clear" w:color="auto" w:fill="auto"/>
            <w:hideMark/>
          </w:tcPr>
          <w:p w:rsidR="00375859" w:rsidRPr="00375859" w:rsidRDefault="00375859" w:rsidP="0037585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6"/>
            <w:bookmarkEnd w:id="3"/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Прем'єр-міні</w:t>
            </w:r>
            <w:proofErr w:type="gram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shd w:val="clear" w:color="auto" w:fill="auto"/>
            <w:hideMark/>
          </w:tcPr>
          <w:p w:rsidR="00375859" w:rsidRPr="00375859" w:rsidRDefault="00375859" w:rsidP="0037585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О.ГОНЧАРУК</w:t>
            </w:r>
          </w:p>
        </w:tc>
      </w:tr>
      <w:tr w:rsidR="00375859" w:rsidRPr="00375859" w:rsidTr="00F725E5">
        <w:tc>
          <w:tcPr>
            <w:tcW w:w="0" w:type="auto"/>
            <w:shd w:val="clear" w:color="auto" w:fill="auto"/>
            <w:hideMark/>
          </w:tcPr>
          <w:p w:rsidR="00375859" w:rsidRPr="00375859" w:rsidRDefault="00375859" w:rsidP="0037585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</w:t>
            </w:r>
            <w:proofErr w:type="spell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73</w:t>
            </w:r>
          </w:p>
        </w:tc>
        <w:tc>
          <w:tcPr>
            <w:tcW w:w="0" w:type="auto"/>
            <w:shd w:val="clear" w:color="auto" w:fill="auto"/>
            <w:hideMark/>
          </w:tcPr>
          <w:p w:rsidR="00375859" w:rsidRPr="00375859" w:rsidRDefault="00375859" w:rsidP="0037585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75859" w:rsidRPr="00375859" w:rsidRDefault="00F725E5" w:rsidP="0037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61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75859" w:rsidRPr="00375859" w:rsidTr="00F725E5">
        <w:tc>
          <w:tcPr>
            <w:tcW w:w="2000" w:type="pct"/>
            <w:shd w:val="clear" w:color="auto" w:fill="auto"/>
            <w:hideMark/>
          </w:tcPr>
          <w:p w:rsidR="00375859" w:rsidRPr="00375859" w:rsidRDefault="00375859" w:rsidP="003758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7"/>
            <w:bookmarkStart w:id="6" w:name="_GoBack"/>
            <w:bookmarkEnd w:id="5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shd w:val="clear" w:color="auto" w:fill="auto"/>
            <w:hideMark/>
          </w:tcPr>
          <w:p w:rsidR="00375859" w:rsidRPr="00375859" w:rsidRDefault="00375859" w:rsidP="003758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3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37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р. № 1133</w:t>
            </w:r>
          </w:p>
        </w:tc>
      </w:tr>
    </w:tbl>
    <w:p w:rsidR="00375859" w:rsidRPr="00375859" w:rsidRDefault="00375859" w:rsidP="0037585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8"/>
      <w:bookmarkEnd w:id="7"/>
      <w:bookmarkEnd w:id="6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ЗМІНИ,</w:t>
      </w:r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</w:t>
      </w:r>
      <w:proofErr w:type="spellEnd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вносяться</w:t>
      </w:r>
      <w:proofErr w:type="spellEnd"/>
      <w:r w:rsidRPr="0037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 </w:t>
      </w:r>
      <w:hyperlink r:id="rId6" w:anchor="n10" w:tgtFrame="_blank" w:history="1"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Порядку </w:t>
        </w:r>
        <w:proofErr w:type="spellStart"/>
        <w:proofErr w:type="gramStart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п</w:t>
        </w:r>
        <w:proofErr w:type="gramEnd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ідвищення</w:t>
        </w:r>
        <w:proofErr w:type="spellEnd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кваліфікації</w:t>
        </w:r>
        <w:proofErr w:type="spellEnd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педагогічних</w:t>
        </w:r>
        <w:proofErr w:type="spellEnd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і </w:t>
        </w:r>
        <w:proofErr w:type="spellStart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науково-педагогічних</w:t>
        </w:r>
        <w:proofErr w:type="spellEnd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працівникі</w:t>
        </w:r>
        <w:proofErr w:type="gramStart"/>
        <w:r w:rsidRPr="0037585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в</w:t>
        </w:r>
        <w:proofErr w:type="spellEnd"/>
        <w:proofErr w:type="gramEnd"/>
      </w:hyperlink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9"/>
      <w:bookmarkEnd w:id="8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F725E5">
        <w:fldChar w:fldCharType="begin"/>
      </w:r>
      <w:r w:rsidR="00F725E5">
        <w:instrText xml:space="preserve"> HYPERLINK "https://za</w:instrText>
      </w:r>
      <w:r w:rsidR="00F725E5">
        <w:instrText xml:space="preserve">kon.rada.gov.ua/laws/show/800-2019-%D0%BF" \l "n19" \t "_blank" </w:instrText>
      </w:r>
      <w:r w:rsidR="00F725E5">
        <w:fldChar w:fldCharType="separate"/>
      </w:r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другий</w:t>
      </w:r>
      <w:proofErr w:type="spellEnd"/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- </w:t>
      </w:r>
      <w:proofErr w:type="spellStart"/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п’ятий</w:t>
      </w:r>
      <w:proofErr w:type="spellEnd"/>
      <w:r w:rsidR="00F725E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fldChar w:fldCharType="end"/>
      </w:r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3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0"/>
      <w:bookmarkEnd w:id="9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F725E5">
        <w:fldChar w:fldCharType="begin"/>
      </w:r>
      <w:r w:rsidR="00F725E5">
        <w:instrText xml:space="preserve"> HYPERLINK "https://zakon.rada.gov.ua/laws/show/800-2019-%D0%BF" \l "n26" \t "_blank" </w:instrText>
      </w:r>
      <w:r w:rsidR="00F725E5">
        <w:fldChar w:fldCharType="separate"/>
      </w:r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6</w:t>
      </w:r>
      <w:r w:rsidR="00F725E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fldChar w:fldCharType="end"/>
      </w:r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1"/>
      <w:bookmarkEnd w:id="10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абзац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2"/>
      <w:bookmarkEnd w:id="11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семінарах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практикумах,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тренінгах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вебінарах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майстер-класах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;”;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3"/>
      <w:bookmarkEnd w:id="12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абзац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4"/>
      <w:bookmarkEnd w:id="13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7" w:anchor="n33" w:tgtFrame="_blank" w:history="1"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7</w:t>
        </w:r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5"/>
      <w:bookmarkEnd w:id="14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“7.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обирають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).”.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6"/>
      <w:bookmarkEnd w:id="15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F725E5">
        <w:fldChar w:fldCharType="begin"/>
      </w:r>
      <w:r w:rsidR="00F725E5">
        <w:instrText xml:space="preserve"> HYPERLINK "https://zakon.rada.gov.ua/laws/show/800-2019-%D0%BF" \l "n37" \t "_blank" </w:instrText>
      </w:r>
      <w:r w:rsidR="00F725E5">
        <w:fldChar w:fldCharType="separate"/>
      </w:r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9</w:t>
      </w:r>
      <w:r w:rsidR="00F725E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fldChar w:fldCharType="end"/>
      </w:r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7"/>
      <w:bookmarkEnd w:id="16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абзац перший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8"/>
      <w:bookmarkEnd w:id="17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“9.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заклад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особа, у тому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-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підприємець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9"/>
      <w:bookmarkEnd w:id="18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0"/>
      <w:bookmarkEnd w:id="19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8" w:anchor="n40" w:tgtFrame="_blank" w:history="1"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10</w:t>
        </w:r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1"/>
      <w:bookmarkEnd w:id="20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“10.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повинна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розробника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розробників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мету,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годинах та/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кредитах ЄКТС, форму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вдосконалюватимуться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набуватимуться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2"/>
      <w:bookmarkEnd w:id="21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3"/>
      <w:bookmarkEnd w:id="22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за видами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практична,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4"/>
      <w:bookmarkEnd w:id="23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виконують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ступінь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5"/>
      <w:bookmarkEnd w:id="24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строки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6"/>
      <w:bookmarkEnd w:id="25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7"/>
      <w:bookmarkEnd w:id="26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28"/>
      <w:bookmarkEnd w:id="27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ітнього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29"/>
      <w:bookmarkEnd w:id="28"/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інімальну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30"/>
      <w:bookmarkEnd w:id="29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опанування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1"/>
      <w:bookmarkEnd w:id="30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подальшої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ідтримки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супроводу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32"/>
      <w:bookmarkEnd w:id="31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трансферу,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інвалідністю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33"/>
      <w:bookmarkEnd w:id="32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34"/>
      <w:bookmarkEnd w:id="33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тривалості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годинах без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позааудиторної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кредитах ЄКТС з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позааудиторної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35"/>
      <w:bookmarkEnd w:id="34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36"/>
      <w:bookmarkEnd w:id="35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веб-сайтах.”.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37"/>
      <w:bookmarkEnd w:id="36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F725E5">
        <w:fldChar w:fldCharType="begin"/>
      </w:r>
      <w:r w:rsidR="00F725E5">
        <w:instrText xml:space="preserve"> HYPERLINK "https://zakon.rada.gov.ua/laws/show/800-2019-%D0%BF" \l "n44" \t "_blank" </w:instrText>
      </w:r>
      <w:r w:rsidR="00F725E5">
        <w:fldChar w:fldCharType="separate"/>
      </w:r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11</w:t>
      </w:r>
      <w:r w:rsidR="00F725E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fldChar w:fldCharType="end"/>
      </w:r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38"/>
      <w:bookmarkEnd w:id="37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друге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“(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“старший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”)”;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39"/>
      <w:bookmarkEnd w:id="38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в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восьмому слово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супервізор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0"/>
      <w:bookmarkEnd w:id="39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абзац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41"/>
      <w:bookmarkEnd w:id="40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десятому слово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супервізора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42"/>
      <w:bookmarkEnd w:id="41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одинадцятому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“0,3”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 “0,2”.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3"/>
      <w:bookmarkEnd w:id="42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hyperlink r:id="rId9" w:anchor="n55" w:tgtFrame="_blank" w:history="1"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12</w:t>
        </w:r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4"/>
      <w:bookmarkEnd w:id="43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 </w:t>
      </w:r>
      <w:proofErr w:type="spellStart"/>
      <w:r w:rsidR="00F725E5">
        <w:fldChar w:fldCharType="begin"/>
      </w:r>
      <w:r w:rsidR="00F725E5">
        <w:instrText xml:space="preserve"> HYPERLINK "https://zakon.rada.gov.ua/laws/show/800-2019-%D0%BF" \l "n58" \t "_blank" </w:instrText>
      </w:r>
      <w:r w:rsidR="00F725E5">
        <w:fldChar w:fldCharType="separate"/>
      </w:r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абзаці</w:t>
      </w:r>
      <w:proofErr w:type="spellEnd"/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другому</w:t>
      </w:r>
      <w:r w:rsidR="00F725E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fldChar w:fldCharType="end"/>
      </w:r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пункту 13 слова “та/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5"/>
      <w:bookmarkEnd w:id="44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hyperlink r:id="rId10" w:anchor="n80" w:tgtFrame="_blank" w:history="1"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Абзац </w:t>
        </w:r>
        <w:proofErr w:type="spell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сьомий</w:t>
        </w:r>
        <w:proofErr w:type="spellEnd"/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15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46"/>
      <w:bookmarkEnd w:id="45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мовленнєва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комунікаційна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емоційно-етична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компетентність</w:t>
      </w:r>
      <w:proofErr w:type="spellEnd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;”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47"/>
      <w:bookmarkEnd w:id="46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hyperlink r:id="rId11" w:anchor="n84" w:tgtFrame="_blank" w:history="1">
        <w:proofErr w:type="gram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</w:t>
        </w:r>
        <w:proofErr w:type="gramEnd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пункті</w:t>
        </w:r>
        <w:proofErr w:type="spellEnd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16</w:t>
        </w:r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48"/>
      <w:bookmarkEnd w:id="47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першому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49"/>
      <w:bookmarkEnd w:id="48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другому слова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“закладу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0"/>
      <w:bookmarkEnd w:id="49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hyperlink r:id="rId12" w:anchor="n87" w:tgtFrame="_blank" w:history="1">
        <w:proofErr w:type="gram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Абзац</w:t>
        </w:r>
        <w:proofErr w:type="gramEnd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перший</w:t>
        </w:r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17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абзацами такого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51"/>
      <w:bookmarkEnd w:id="50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“17.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двома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етапами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першому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поточному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педагогічною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орієнтовного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Орієнтовний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проходитимуть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орієнтовний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Орієнтовний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інформаційному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веб-сайту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веб-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органу, 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перебуває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не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поточного року. На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орієнтовних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фінансуються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формують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регіональне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замовлення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потреб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областей.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2"/>
      <w:bookmarkEnd w:id="51"/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розпочинається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особи)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невідкладно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оприлюднюють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та/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3"/>
      <w:bookmarkEnd w:id="52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54"/>
      <w:bookmarkEnd w:id="53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hyperlink r:id="rId13" w:anchor="n90" w:tgtFrame="_blank" w:history="1"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Абзац </w:t>
        </w:r>
        <w:proofErr w:type="spellStart"/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другий</w:t>
        </w:r>
        <w:proofErr w:type="spellEnd"/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18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55"/>
      <w:bookmarkEnd w:id="54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невідповідності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17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56"/>
      <w:bookmarkEnd w:id="55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hyperlink r:id="rId14" w:anchor="n93" w:tgtFrame="_blank" w:history="1"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20</w:t>
        </w:r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57"/>
      <w:bookmarkEnd w:id="56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“Не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поінформувати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уповноважену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особу про стан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поточному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додаванням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зберігається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особовій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справі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58"/>
      <w:bookmarkEnd w:id="57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 </w:t>
      </w:r>
      <w:proofErr w:type="spellStart"/>
      <w:r w:rsidR="00F725E5">
        <w:fldChar w:fldCharType="begin"/>
      </w:r>
      <w:r w:rsidR="00F725E5">
        <w:instrText xml:space="preserve"> HYPERLINK "https://zakon.rada.gov.ua/laws/show/800-2019-%D0%BF" \l "n114" \t "_blank" </w:instrText>
      </w:r>
      <w:r w:rsidR="00F725E5">
        <w:fldChar w:fldCharType="separate"/>
      </w:r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абзаці</w:t>
      </w:r>
      <w:proofErr w:type="spellEnd"/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першому</w:t>
      </w:r>
      <w:proofErr w:type="spellEnd"/>
      <w:r w:rsidR="00F725E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fldChar w:fldCharType="end"/>
      </w:r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26 слова “, а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семінарах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практикумах,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тренінгах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вебінарах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майстер-класах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провадилася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поза межами плану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59"/>
      <w:bookmarkEnd w:id="58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hyperlink r:id="rId15" w:anchor="n120" w:tgtFrame="_blank" w:history="1"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Абзац перший</w:t>
        </w:r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29 </w:t>
      </w:r>
      <w:proofErr w:type="spellStart"/>
      <w:proofErr w:type="gram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слів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педагогічне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“(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“старший 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”)”.</w:t>
      </w:r>
    </w:p>
    <w:p w:rsidR="00375859" w:rsidRPr="00375859" w:rsidRDefault="00375859" w:rsidP="003758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60"/>
      <w:bookmarkEnd w:id="59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hyperlink r:id="rId16" w:anchor="n125" w:tgtFrame="_blank" w:history="1">
        <w:r w:rsidRPr="0037585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31</w:t>
        </w:r>
      </w:hyperlink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37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0A02" w:rsidRDefault="00F725E5"/>
    <w:sectPr w:rsidR="00DE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59"/>
    <w:rsid w:val="00293B6D"/>
    <w:rsid w:val="00375859"/>
    <w:rsid w:val="005F6368"/>
    <w:rsid w:val="00822D45"/>
    <w:rsid w:val="00894622"/>
    <w:rsid w:val="00A27134"/>
    <w:rsid w:val="00B22785"/>
    <w:rsid w:val="00F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75859"/>
  </w:style>
  <w:style w:type="character" w:customStyle="1" w:styleId="rvts64">
    <w:name w:val="rvts64"/>
    <w:basedOn w:val="a0"/>
    <w:rsid w:val="00375859"/>
  </w:style>
  <w:style w:type="character" w:customStyle="1" w:styleId="rvts9">
    <w:name w:val="rvts9"/>
    <w:basedOn w:val="a0"/>
    <w:rsid w:val="00375859"/>
  </w:style>
  <w:style w:type="paragraph" w:customStyle="1" w:styleId="rvps6">
    <w:name w:val="rvps6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375859"/>
  </w:style>
  <w:style w:type="character" w:styleId="a3">
    <w:name w:val="Hyperlink"/>
    <w:basedOn w:val="a0"/>
    <w:uiPriority w:val="99"/>
    <w:semiHidden/>
    <w:unhideWhenUsed/>
    <w:rsid w:val="00375859"/>
    <w:rPr>
      <w:color w:val="0000FF"/>
      <w:u w:val="single"/>
    </w:rPr>
  </w:style>
  <w:style w:type="paragraph" w:customStyle="1" w:styleId="rvps4">
    <w:name w:val="rvps4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375859"/>
  </w:style>
  <w:style w:type="paragraph" w:customStyle="1" w:styleId="rvps15">
    <w:name w:val="rvps15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75859"/>
  </w:style>
  <w:style w:type="character" w:customStyle="1" w:styleId="rvts64">
    <w:name w:val="rvts64"/>
    <w:basedOn w:val="a0"/>
    <w:rsid w:val="00375859"/>
  </w:style>
  <w:style w:type="character" w:customStyle="1" w:styleId="rvts9">
    <w:name w:val="rvts9"/>
    <w:basedOn w:val="a0"/>
    <w:rsid w:val="00375859"/>
  </w:style>
  <w:style w:type="paragraph" w:customStyle="1" w:styleId="rvps6">
    <w:name w:val="rvps6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375859"/>
  </w:style>
  <w:style w:type="character" w:styleId="a3">
    <w:name w:val="Hyperlink"/>
    <w:basedOn w:val="a0"/>
    <w:uiPriority w:val="99"/>
    <w:semiHidden/>
    <w:unhideWhenUsed/>
    <w:rsid w:val="00375859"/>
    <w:rPr>
      <w:color w:val="0000FF"/>
      <w:u w:val="single"/>
    </w:rPr>
  </w:style>
  <w:style w:type="paragraph" w:customStyle="1" w:styleId="rvps4">
    <w:name w:val="rvps4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375859"/>
  </w:style>
  <w:style w:type="paragraph" w:customStyle="1" w:styleId="rvps15">
    <w:name w:val="rvps15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3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0-2019-%D0%BF" TargetMode="External"/><Relationship Id="rId13" Type="http://schemas.openxmlformats.org/officeDocument/2006/relationships/hyperlink" Target="https://zakon.rada.gov.ua/laws/show/800-2019-%D0%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00-2019-%D0%BF" TargetMode="External"/><Relationship Id="rId12" Type="http://schemas.openxmlformats.org/officeDocument/2006/relationships/hyperlink" Target="https://zakon.rada.gov.ua/laws/show/800-2019-%D0%B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800-2019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0-2019-%D0%BF" TargetMode="External"/><Relationship Id="rId11" Type="http://schemas.openxmlformats.org/officeDocument/2006/relationships/hyperlink" Target="https://zakon.rada.gov.ua/laws/show/800-2019-%D0%BF" TargetMode="External"/><Relationship Id="rId5" Type="http://schemas.openxmlformats.org/officeDocument/2006/relationships/hyperlink" Target="https://zakon.rada.gov.ua/laws/show/800-2019-%D0%BF" TargetMode="External"/><Relationship Id="rId15" Type="http://schemas.openxmlformats.org/officeDocument/2006/relationships/hyperlink" Target="https://zakon.rada.gov.ua/laws/show/800-2019-%D0%BF" TargetMode="External"/><Relationship Id="rId10" Type="http://schemas.openxmlformats.org/officeDocument/2006/relationships/hyperlink" Target="https://zakon.rada.gov.ua/laws/show/800-2019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0-2019-%D0%BF" TargetMode="External"/><Relationship Id="rId14" Type="http://schemas.openxmlformats.org/officeDocument/2006/relationships/hyperlink" Target="https://zakon.rada.gov.ua/laws/show/800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7547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2020-01-14T12:08:00Z</dcterms:created>
  <dcterms:modified xsi:type="dcterms:W3CDTF">2020-01-14T12:31:00Z</dcterms:modified>
</cp:coreProperties>
</file>